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1C74" w14:textId="77777777" w:rsidR="006C1BDF" w:rsidRDefault="006C1BDF" w:rsidP="008A03B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C4E8482" w14:textId="17112F8E" w:rsidR="008A03B6" w:rsidRPr="00F34BFE" w:rsidRDefault="008A03B6" w:rsidP="008A03B6">
      <w:pPr>
        <w:spacing w:after="0" w:line="240" w:lineRule="auto"/>
        <w:jc w:val="center"/>
        <w:rPr>
          <w:rFonts w:ascii="Arial" w:hAnsi="Arial" w:cs="Arial"/>
          <w:b/>
        </w:rPr>
      </w:pPr>
      <w:r w:rsidRPr="00F34BFE">
        <w:rPr>
          <w:rFonts w:ascii="Arial" w:hAnsi="Arial" w:cs="Arial"/>
          <w:b/>
        </w:rPr>
        <w:t>DECLARACIÓN DE CONFORMIDAD No. _______</w:t>
      </w:r>
    </w:p>
    <w:p w14:paraId="6B3E7891" w14:textId="77777777" w:rsidR="008A03B6" w:rsidRPr="00F34BFE" w:rsidRDefault="008A03B6" w:rsidP="008A03B6">
      <w:pPr>
        <w:spacing w:after="0" w:line="240" w:lineRule="auto"/>
        <w:jc w:val="both"/>
        <w:rPr>
          <w:rFonts w:ascii="Arial" w:hAnsi="Arial" w:cs="Arial"/>
          <w:sz w:val="12"/>
          <w:szCs w:val="18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2094"/>
        <w:gridCol w:w="741"/>
        <w:gridCol w:w="1276"/>
        <w:gridCol w:w="709"/>
        <w:gridCol w:w="1287"/>
        <w:gridCol w:w="272"/>
        <w:gridCol w:w="1276"/>
        <w:gridCol w:w="1417"/>
        <w:gridCol w:w="567"/>
      </w:tblGrid>
      <w:tr w:rsidR="008A03B6" w:rsidRPr="00F34BFE" w14:paraId="35C4DB40" w14:textId="77777777" w:rsidTr="008A03B6">
        <w:trPr>
          <w:trHeight w:val="292"/>
        </w:trPr>
        <w:tc>
          <w:tcPr>
            <w:tcW w:w="2094" w:type="dxa"/>
          </w:tcPr>
          <w:p w14:paraId="56A450EE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BFE">
              <w:rPr>
                <w:rFonts w:ascii="Arial" w:hAnsi="Arial" w:cs="Arial"/>
                <w:sz w:val="16"/>
                <w:szCs w:val="16"/>
              </w:rPr>
              <w:t>Nombre del emisor:</w:t>
            </w:r>
          </w:p>
        </w:tc>
        <w:tc>
          <w:tcPr>
            <w:tcW w:w="7545" w:type="dxa"/>
            <w:gridSpan w:val="8"/>
          </w:tcPr>
          <w:p w14:paraId="78C196D8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356AF000" w14:textId="77777777" w:rsidTr="008A03B6">
        <w:tc>
          <w:tcPr>
            <w:tcW w:w="9639" w:type="dxa"/>
            <w:gridSpan w:val="9"/>
          </w:tcPr>
          <w:p w14:paraId="5C1BE69D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4865AF1C" w14:textId="77777777" w:rsidTr="008A03B6">
        <w:tc>
          <w:tcPr>
            <w:tcW w:w="9639" w:type="dxa"/>
            <w:gridSpan w:val="9"/>
          </w:tcPr>
          <w:p w14:paraId="6285F71B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BFE">
              <w:rPr>
                <w:rFonts w:ascii="Arial" w:hAnsi="Arial" w:cs="Arial"/>
                <w:sz w:val="16"/>
                <w:szCs w:val="16"/>
              </w:rPr>
              <w:t>Actúa en calidad de (marque con una “X” según corresponda)</w:t>
            </w:r>
          </w:p>
        </w:tc>
      </w:tr>
      <w:tr w:rsidR="008A03B6" w:rsidRPr="00F34BFE" w14:paraId="000740B4" w14:textId="77777777" w:rsidTr="006C1BDF">
        <w:tc>
          <w:tcPr>
            <w:tcW w:w="2094" w:type="dxa"/>
          </w:tcPr>
          <w:p w14:paraId="7FFB990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Titular</w:t>
            </w:r>
          </w:p>
        </w:tc>
        <w:tc>
          <w:tcPr>
            <w:tcW w:w="741" w:type="dxa"/>
          </w:tcPr>
          <w:p w14:paraId="722A121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058620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Fabricante</w:t>
            </w:r>
          </w:p>
        </w:tc>
        <w:tc>
          <w:tcPr>
            <w:tcW w:w="709" w:type="dxa"/>
          </w:tcPr>
          <w:p w14:paraId="15F75E42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4DE7BB47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Importador </w:t>
            </w:r>
          </w:p>
        </w:tc>
        <w:tc>
          <w:tcPr>
            <w:tcW w:w="1276" w:type="dxa"/>
          </w:tcPr>
          <w:p w14:paraId="4E088090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38F220" w14:textId="5F05C5E2" w:rsidR="008A03B6" w:rsidRPr="004D3B67" w:rsidRDefault="007F5574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Importador paralelo</w:t>
            </w:r>
            <w:r w:rsidR="008A03B6" w:rsidRPr="004D3B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EAD78FD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7D4D0418" w14:textId="77777777" w:rsidTr="008A03B6">
        <w:tc>
          <w:tcPr>
            <w:tcW w:w="9639" w:type="dxa"/>
            <w:gridSpan w:val="9"/>
          </w:tcPr>
          <w:p w14:paraId="3149F51C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Dirección del emisor:</w:t>
            </w:r>
          </w:p>
        </w:tc>
      </w:tr>
      <w:tr w:rsidR="008A03B6" w:rsidRPr="00F34BFE" w14:paraId="35EAB480" w14:textId="77777777" w:rsidTr="008A03B6">
        <w:tc>
          <w:tcPr>
            <w:tcW w:w="4820" w:type="dxa"/>
            <w:gridSpan w:val="4"/>
          </w:tcPr>
          <w:p w14:paraId="0EA2FAC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Domicilio del emisor:</w:t>
            </w:r>
          </w:p>
        </w:tc>
        <w:tc>
          <w:tcPr>
            <w:tcW w:w="4819" w:type="dxa"/>
            <w:gridSpan w:val="5"/>
          </w:tcPr>
          <w:p w14:paraId="1D7BEAC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Departamento: </w:t>
            </w:r>
          </w:p>
        </w:tc>
      </w:tr>
      <w:tr w:rsidR="008A03B6" w:rsidRPr="00F34BFE" w14:paraId="20658847" w14:textId="77777777" w:rsidTr="008A03B6">
        <w:tc>
          <w:tcPr>
            <w:tcW w:w="9639" w:type="dxa"/>
            <w:gridSpan w:val="9"/>
          </w:tcPr>
          <w:p w14:paraId="0FC2B9C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Objeto de la declaración (Nombre del producto)</w:t>
            </w:r>
          </w:p>
          <w:p w14:paraId="081B7509" w14:textId="0972AF7B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0AC776B3" w14:textId="77777777" w:rsidTr="008A03B6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2690598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Tipo de producto según definición del reglamento técnico de la Resolución 0689 de 2016 (marque con una “X” según corresponda):</w:t>
            </w:r>
          </w:p>
        </w:tc>
      </w:tr>
      <w:tr w:rsidR="008A03B6" w:rsidRPr="00F34BFE" w14:paraId="680A6FAF" w14:textId="77777777" w:rsidTr="008A03B6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21215EA9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Producto cosmético - Jabón de uso cosmético (Artículo 3 - Numeral 3.7)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3944A0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109A59CE" w14:textId="77777777" w:rsidTr="008A03B6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736B8A4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Producto de higiene doméstica - Jabón (Artículo 3 - Numeral 3.5)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5A43B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05F5876B" w14:textId="77777777" w:rsidTr="008A03B6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0C73FCB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 xml:space="preserve">Producto de higiene doméstica - Detergente (Artículo 3 - Numeral 3.4)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B3D4BF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A03B6" w:rsidRPr="00F34BFE" w14:paraId="154D1C1E" w14:textId="77777777" w:rsidTr="006C1BDF">
        <w:trPr>
          <w:trHeight w:val="108"/>
        </w:trPr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8DA2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5F28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6994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44B3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7070C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657DC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5808B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1245F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3B6" w:rsidRPr="00F34BFE" w14:paraId="374FD8D5" w14:textId="77777777" w:rsidTr="0061318D">
        <w:trPr>
          <w:trHeight w:val="937"/>
        </w:trPr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4A3C68F0" w14:textId="77777777" w:rsidR="008A03B6" w:rsidRPr="004D3B67" w:rsidRDefault="008A03B6" w:rsidP="008A0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b/>
                <w:bCs/>
                <w:sz w:val="16"/>
                <w:szCs w:val="16"/>
              </w:rPr>
              <w:t>Si es Producto cosmético</w:t>
            </w:r>
            <w:r w:rsidRPr="004D3B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r w:rsidRPr="004D3B6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A92A851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El producto anteriormente descrito está en conformidad con los requisitos exigidos en la Resolución 0689 del 03 de mayo de 2016 "</w:t>
            </w:r>
            <w:r w:rsidRPr="004D3B67">
              <w:rPr>
                <w:rFonts w:ascii="Arial" w:hAnsi="Arial" w:cs="Arial"/>
                <w:i/>
                <w:sz w:val="16"/>
                <w:szCs w:val="16"/>
              </w:rPr>
              <w:t>Por la cual se adopta el reglamento técnico que establece los límites máximos de fosforo y la biodegradabilidad de los tensoactivos presentes en detergentes y jabones, y se dictan otras disposiciones</w:t>
            </w:r>
            <w:r w:rsidRPr="004D3B67">
              <w:rPr>
                <w:rFonts w:ascii="Arial" w:hAnsi="Arial" w:cs="Arial"/>
                <w:sz w:val="16"/>
                <w:szCs w:val="16"/>
              </w:rPr>
              <w:t>" en su Artículo 5. Límites máximos permisibles de contenido de fosforo – Numeral 5.2</w:t>
            </w:r>
          </w:p>
        </w:tc>
      </w:tr>
      <w:tr w:rsidR="008A03B6" w:rsidRPr="00F34BFE" w14:paraId="79A5C96F" w14:textId="77777777" w:rsidTr="0061318D">
        <w:trPr>
          <w:trHeight w:val="270"/>
        </w:trPr>
        <w:tc>
          <w:tcPr>
            <w:tcW w:w="2835" w:type="dxa"/>
            <w:gridSpan w:val="2"/>
            <w:vAlign w:val="center"/>
          </w:tcPr>
          <w:p w14:paraId="0D3E4012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282C9A1A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220ADB0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4AB41566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</w:rPr>
            </w:pPr>
          </w:p>
        </w:tc>
      </w:tr>
      <w:tr w:rsidR="008A03B6" w:rsidRPr="00F34BFE" w14:paraId="6FE3D315" w14:textId="77777777" w:rsidTr="0061318D">
        <w:trPr>
          <w:trHeight w:val="27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82DB04A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BD10896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5D43261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4D3B67">
              <w:rPr>
                <w:rFonts w:ascii="Arial" w:hAnsi="Arial" w:cs="Arial"/>
                <w:sz w:val="14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418A0F5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</w:rPr>
            </w:pPr>
          </w:p>
        </w:tc>
      </w:tr>
      <w:tr w:rsidR="008A03B6" w:rsidRPr="00F34BFE" w14:paraId="2D0E7C5B" w14:textId="77777777" w:rsidTr="008A03B6"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5C50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 w:rsidRPr="004D3B67">
              <w:rPr>
                <w:rFonts w:ascii="Arial" w:hAnsi="Arial" w:cs="Arial"/>
                <w:sz w:val="12"/>
                <w:szCs w:val="16"/>
                <w:vertAlign w:val="superscript"/>
              </w:rPr>
              <w:t>1</w:t>
            </w:r>
            <w:r w:rsidRPr="004D3B67">
              <w:rPr>
                <w:rFonts w:ascii="Arial" w:hAnsi="Arial" w:cs="Arial"/>
                <w:b/>
                <w:sz w:val="12"/>
                <w:szCs w:val="16"/>
              </w:rPr>
              <w:t xml:space="preserve">Por el Parágrafo 2 incluido al Artículo 6 de la Resolución 0689 de 2016 por la Resolución 1770 de 2018, los productos cosméticos se exceptúan del cumplimiento del Requisito de biodegradabilidad  </w:t>
            </w:r>
          </w:p>
          <w:p w14:paraId="4E04E69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A03B6" w:rsidRPr="00F34BFE" w14:paraId="57A2AB4B" w14:textId="77777777" w:rsidTr="008A03B6">
        <w:trPr>
          <w:trHeight w:val="1026"/>
        </w:trPr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1FC57891" w14:textId="77777777" w:rsidR="008A03B6" w:rsidRPr="004D3B67" w:rsidRDefault="008A03B6" w:rsidP="008A0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b/>
                <w:bCs/>
                <w:sz w:val="16"/>
                <w:szCs w:val="16"/>
              </w:rPr>
              <w:t>Si es Producto de higiene doméstica – Jabón</w:t>
            </w:r>
            <w:r w:rsidRPr="004D3B6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4D3B6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5AF0D6B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3B67">
              <w:rPr>
                <w:rFonts w:ascii="Arial" w:hAnsi="Arial" w:cs="Arial"/>
                <w:sz w:val="16"/>
                <w:szCs w:val="16"/>
              </w:rPr>
              <w:t>El producto anteriormente descrito está en conformidad con los requisitos exigidos en la Resolución 0689 del 03 de mayo de 2016 "</w:t>
            </w:r>
            <w:r w:rsidRPr="004D3B67">
              <w:rPr>
                <w:rFonts w:ascii="Arial" w:hAnsi="Arial" w:cs="Arial"/>
                <w:i/>
                <w:sz w:val="16"/>
                <w:szCs w:val="16"/>
              </w:rPr>
              <w:t>Por la cual se adopta el reglamento técnico que establece los límites máximos de fosforo y la biodegradabilidad de los tensoactivos presentes en detergentes y jabones, y se dictan otras disposiciones</w:t>
            </w:r>
            <w:r w:rsidRPr="004D3B67">
              <w:rPr>
                <w:rFonts w:ascii="Arial" w:hAnsi="Arial" w:cs="Arial"/>
                <w:sz w:val="16"/>
                <w:szCs w:val="16"/>
              </w:rPr>
              <w:t>" en su Artículo 5. Límites máximos permisibles de contenido de fosforo – Numeral 5.2</w:t>
            </w:r>
          </w:p>
        </w:tc>
      </w:tr>
      <w:tr w:rsidR="008A03B6" w:rsidRPr="00F34BFE" w14:paraId="4EAAF868" w14:textId="77777777" w:rsidTr="0061318D">
        <w:trPr>
          <w:trHeight w:val="242"/>
        </w:trPr>
        <w:tc>
          <w:tcPr>
            <w:tcW w:w="2835" w:type="dxa"/>
            <w:gridSpan w:val="2"/>
            <w:vAlign w:val="center"/>
          </w:tcPr>
          <w:p w14:paraId="16924BF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057915E8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14A0A39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6076F53C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A03B6" w:rsidRPr="00F34BFE" w14:paraId="33C7083D" w14:textId="77777777" w:rsidTr="0061318D">
        <w:trPr>
          <w:trHeight w:val="276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008800E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1255D7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0180A4C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D3B67">
              <w:rPr>
                <w:rFonts w:ascii="Arial" w:hAnsi="Arial" w:cs="Arial"/>
                <w:sz w:val="14"/>
                <w:szCs w:val="14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F3D753A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A03B6" w:rsidRPr="00F34BFE" w14:paraId="5DE36E8F" w14:textId="77777777" w:rsidTr="008A03B6"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3ED1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 w:rsidRPr="004D3B67">
              <w:rPr>
                <w:rFonts w:ascii="Arial" w:hAnsi="Arial" w:cs="Arial"/>
                <w:sz w:val="12"/>
                <w:szCs w:val="16"/>
                <w:vertAlign w:val="superscript"/>
              </w:rPr>
              <w:t>2</w:t>
            </w:r>
            <w:r w:rsidRPr="004D3B67">
              <w:rPr>
                <w:rFonts w:ascii="Arial" w:hAnsi="Arial" w:cs="Arial"/>
                <w:b/>
                <w:sz w:val="12"/>
                <w:szCs w:val="16"/>
              </w:rPr>
              <w:t xml:space="preserve">Por el Parágrafo 1 del Artículo 6 de la Resolución 0689 de 2016, en consideración de la biodegradabilidad intrínseca, este tipo de productos se exceptúan del cumplimiento del Requisito de biodegradabilidad </w:t>
            </w:r>
          </w:p>
          <w:p w14:paraId="46FC7363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A03B6" w:rsidRPr="00F34BFE" w14:paraId="096F0766" w14:textId="77777777" w:rsidTr="0061318D">
        <w:trPr>
          <w:trHeight w:val="1023"/>
        </w:trPr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79155CBB" w14:textId="7476C943" w:rsidR="008A03B6" w:rsidRPr="004D3B67" w:rsidRDefault="008A03B6" w:rsidP="008A03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Si es Producto de higiene doméstica – </w:t>
            </w:r>
            <w:r w:rsidR="0061318D" w:rsidRPr="004D3B67">
              <w:rPr>
                <w:rFonts w:ascii="Arial" w:hAnsi="Arial" w:cs="Arial"/>
                <w:b/>
                <w:bCs/>
                <w:sz w:val="16"/>
                <w:szCs w:val="20"/>
              </w:rPr>
              <w:t>Detergente</w:t>
            </w:r>
            <w:r w:rsidRPr="004D3B67">
              <w:rPr>
                <w:rFonts w:ascii="Arial" w:hAnsi="Arial" w:cs="Arial"/>
                <w:sz w:val="16"/>
                <w:szCs w:val="20"/>
              </w:rPr>
              <w:t>:</w:t>
            </w:r>
          </w:p>
          <w:p w14:paraId="43936AA5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sz w:val="16"/>
                <w:szCs w:val="20"/>
              </w:rPr>
              <w:t>El producto anteriormente descrito está en conformidad con los requisitos exigidos en la Resolución 0689 del 03 de mayo de 2016 "</w:t>
            </w:r>
            <w:r w:rsidRPr="004D3B67">
              <w:rPr>
                <w:rFonts w:ascii="Arial" w:hAnsi="Arial" w:cs="Arial"/>
                <w:i/>
                <w:sz w:val="16"/>
                <w:szCs w:val="20"/>
              </w:rPr>
              <w:t>Por la cual se adopta el reglamento técnico que establece los límites máximos de fosforo y la biodegradabilidad de los tensoactivos presentes en detergentes y jabones, y se dictan otras disposiciones</w:t>
            </w:r>
            <w:r w:rsidRPr="004D3B67">
              <w:rPr>
                <w:rFonts w:ascii="Arial" w:hAnsi="Arial" w:cs="Arial"/>
                <w:sz w:val="16"/>
                <w:szCs w:val="20"/>
              </w:rPr>
              <w:t>" en su Artículo 5. Límites máximos permisibles de contenido de fosforo – Numeral 5.2 y en su Artículo 6. Requisito de biodegradabilidad.</w:t>
            </w:r>
          </w:p>
        </w:tc>
      </w:tr>
      <w:tr w:rsidR="008A03B6" w:rsidRPr="00F34BFE" w14:paraId="3489E3E6" w14:textId="77777777" w:rsidTr="008A03B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037B842A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sz w:val="16"/>
                <w:szCs w:val="20"/>
              </w:rPr>
              <w:t>Para Límites máximos permisibles de contenido de fósforo</w:t>
            </w:r>
          </w:p>
        </w:tc>
      </w:tr>
      <w:tr w:rsidR="008A03B6" w:rsidRPr="00F34BFE" w14:paraId="0803FDA8" w14:textId="77777777" w:rsidTr="0061318D">
        <w:trPr>
          <w:trHeight w:val="333"/>
        </w:trPr>
        <w:tc>
          <w:tcPr>
            <w:tcW w:w="2835" w:type="dxa"/>
            <w:gridSpan w:val="2"/>
            <w:vAlign w:val="center"/>
          </w:tcPr>
          <w:p w14:paraId="28F8C194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6A270821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66FD11F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3AB68B1F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F34BFE" w14:paraId="54EFB9A3" w14:textId="77777777" w:rsidTr="0061318D">
        <w:trPr>
          <w:trHeight w:val="22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C26BDE5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54FC5F2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069A0E5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4E2BB5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F34BFE" w14:paraId="324FFE00" w14:textId="77777777" w:rsidTr="008A03B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0BB177D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D3B67">
              <w:rPr>
                <w:rFonts w:ascii="Arial" w:hAnsi="Arial" w:cs="Arial"/>
                <w:sz w:val="16"/>
                <w:szCs w:val="20"/>
              </w:rPr>
              <w:t>Para Biodegradabilidad</w:t>
            </w:r>
          </w:p>
        </w:tc>
      </w:tr>
      <w:tr w:rsidR="008A03B6" w:rsidRPr="00F34BFE" w14:paraId="33AF7D1D" w14:textId="77777777" w:rsidTr="0061318D">
        <w:trPr>
          <w:trHeight w:val="372"/>
        </w:trPr>
        <w:tc>
          <w:tcPr>
            <w:tcW w:w="2835" w:type="dxa"/>
            <w:gridSpan w:val="2"/>
            <w:vAlign w:val="center"/>
          </w:tcPr>
          <w:p w14:paraId="41D01FFD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 xml:space="preserve">Ensayo analítico No. </w:t>
            </w:r>
          </w:p>
        </w:tc>
        <w:tc>
          <w:tcPr>
            <w:tcW w:w="1985" w:type="dxa"/>
            <w:gridSpan w:val="2"/>
            <w:vAlign w:val="center"/>
          </w:tcPr>
          <w:p w14:paraId="68680C84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AB51B76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Método empleado</w:t>
            </w:r>
          </w:p>
        </w:tc>
        <w:tc>
          <w:tcPr>
            <w:tcW w:w="1984" w:type="dxa"/>
            <w:gridSpan w:val="2"/>
          </w:tcPr>
          <w:p w14:paraId="10EB7335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F34BFE" w14:paraId="48ED114F" w14:textId="77777777" w:rsidTr="0061318D">
        <w:trPr>
          <w:trHeight w:val="265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E5F9899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No. Lote analizado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46E2854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10E1D5E" w14:textId="77777777" w:rsidR="008A03B6" w:rsidRPr="004D3B67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4D3B67">
              <w:rPr>
                <w:rFonts w:ascii="Arial" w:hAnsi="Arial" w:cs="Arial"/>
                <w:sz w:val="14"/>
                <w:szCs w:val="18"/>
              </w:rPr>
              <w:t>Folios adjuntos a esta declaración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5898CD8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4"/>
                <w:szCs w:val="18"/>
              </w:rPr>
            </w:pPr>
          </w:p>
        </w:tc>
      </w:tr>
      <w:tr w:rsidR="008A03B6" w:rsidRPr="005F2C6F" w14:paraId="16E84647" w14:textId="77777777" w:rsidTr="008A03B6"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DF18B" w14:textId="77777777" w:rsidR="008A03B6" w:rsidRPr="005F2C6F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NOTA: </w:t>
            </w:r>
            <w:r w:rsidRPr="005F2C6F">
              <w:rPr>
                <w:rFonts w:ascii="Arial" w:hAnsi="Arial" w:cs="Arial"/>
                <w:b/>
                <w:sz w:val="14"/>
              </w:rPr>
              <w:t>Tenga en cuenta que de si el ensayo o el estudio soporte relaciona una muestra codificada del producto objeto del análisis deberá allegar la información que permita identificar que se trata del producto declarado</w:t>
            </w:r>
          </w:p>
        </w:tc>
      </w:tr>
      <w:tr w:rsidR="008A03B6" w:rsidRPr="005F2C6F" w14:paraId="1D4C0570" w14:textId="77777777" w:rsidTr="008A03B6"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CD108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12"/>
              </w:rPr>
            </w:pPr>
          </w:p>
        </w:tc>
      </w:tr>
      <w:tr w:rsidR="008A03B6" w:rsidRPr="00F34BFE" w14:paraId="12B433F7" w14:textId="77777777" w:rsidTr="006C1BDF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951E3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 xml:space="preserve">Firmado por: 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72DC9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>Y en nombre de:</w:t>
            </w:r>
          </w:p>
        </w:tc>
      </w:tr>
      <w:tr w:rsidR="008A03B6" w:rsidRPr="00F34BFE" w14:paraId="674AFB13" w14:textId="77777777" w:rsidTr="006C1BDF">
        <w:trPr>
          <w:trHeight w:val="406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A32" w14:textId="0E1CA900" w:rsidR="008A03B6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7C8C0EFD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253D343C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3FE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A03B6" w:rsidRPr="00F34BFE" w14:paraId="03E6491B" w14:textId="77777777" w:rsidTr="008A03B6"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14:paraId="428F0602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>Nombres y Apellidos:</w:t>
            </w:r>
          </w:p>
        </w:tc>
      </w:tr>
      <w:tr w:rsidR="008A03B6" w:rsidRPr="00F34BFE" w14:paraId="7735B672" w14:textId="77777777" w:rsidTr="008A03B6">
        <w:tc>
          <w:tcPr>
            <w:tcW w:w="9639" w:type="dxa"/>
            <w:gridSpan w:val="9"/>
          </w:tcPr>
          <w:p w14:paraId="348F4423" w14:textId="77777777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 xml:space="preserve">Cargo: </w:t>
            </w:r>
          </w:p>
        </w:tc>
      </w:tr>
      <w:tr w:rsidR="008A03B6" w:rsidRPr="00F34BFE" w14:paraId="68619302" w14:textId="77777777" w:rsidTr="006C1BDF">
        <w:trPr>
          <w:trHeight w:val="142"/>
        </w:trPr>
        <w:tc>
          <w:tcPr>
            <w:tcW w:w="4820" w:type="dxa"/>
            <w:gridSpan w:val="4"/>
          </w:tcPr>
          <w:p w14:paraId="77E4F8B1" w14:textId="0549FC2A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>Lugar de emisión:</w:t>
            </w:r>
          </w:p>
        </w:tc>
        <w:tc>
          <w:tcPr>
            <w:tcW w:w="4819" w:type="dxa"/>
            <w:gridSpan w:val="5"/>
          </w:tcPr>
          <w:p w14:paraId="0C3BACD1" w14:textId="025B92D5" w:rsidR="008A03B6" w:rsidRPr="00F34BFE" w:rsidRDefault="008A03B6" w:rsidP="008A03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34BFE">
              <w:rPr>
                <w:rFonts w:ascii="Arial" w:hAnsi="Arial" w:cs="Arial"/>
                <w:sz w:val="16"/>
                <w:szCs w:val="20"/>
              </w:rPr>
              <w:t xml:space="preserve">Fecha de emisión: </w:t>
            </w:r>
          </w:p>
        </w:tc>
      </w:tr>
    </w:tbl>
    <w:p w14:paraId="02519FB4" w14:textId="77777777" w:rsidR="008A03B6" w:rsidRPr="008A03B6" w:rsidRDefault="008A03B6" w:rsidP="008A03B6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sectPr w:rsidR="008A03B6" w:rsidRPr="008A03B6" w:rsidSect="008A03B6">
      <w:headerReference w:type="default" r:id="rId8"/>
      <w:footerReference w:type="default" r:id="rId9"/>
      <w:pgSz w:w="12240" w:h="15840" w:code="1"/>
      <w:pgMar w:top="1924" w:right="1701" w:bottom="1418" w:left="1701" w:header="709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B80F" w14:textId="77777777" w:rsidR="00EB529C" w:rsidRDefault="00EB529C" w:rsidP="000D06B9">
      <w:pPr>
        <w:spacing w:after="0" w:line="240" w:lineRule="auto"/>
      </w:pPr>
      <w:r>
        <w:separator/>
      </w:r>
    </w:p>
  </w:endnote>
  <w:endnote w:type="continuationSeparator" w:id="0">
    <w:p w14:paraId="06100CC8" w14:textId="77777777" w:rsidR="00EB529C" w:rsidRDefault="00EB529C" w:rsidP="000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85685" w14:textId="5DC22E52" w:rsidR="00516525" w:rsidRDefault="008A03B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61BBB7FA" wp14:editId="4F34C34C">
          <wp:simplePos x="0" y="0"/>
          <wp:positionH relativeFrom="margin">
            <wp:posOffset>-1070610</wp:posOffset>
          </wp:positionH>
          <wp:positionV relativeFrom="paragraph">
            <wp:posOffset>-190500</wp:posOffset>
          </wp:positionV>
          <wp:extent cx="7878445" cy="118110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BC1511" w14:textId="50F8FEEC" w:rsidR="00516525" w:rsidRDefault="00516525">
    <w:pPr>
      <w:pStyle w:val="Piedepgina"/>
    </w:pPr>
  </w:p>
  <w:p w14:paraId="6E811254" w14:textId="5AFAACC0" w:rsidR="00EF7151" w:rsidRDefault="00EF71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0B53B" w14:textId="77777777" w:rsidR="00EB529C" w:rsidRDefault="00EB529C" w:rsidP="000D06B9">
      <w:pPr>
        <w:spacing w:after="0" w:line="240" w:lineRule="auto"/>
      </w:pPr>
      <w:r>
        <w:separator/>
      </w:r>
    </w:p>
  </w:footnote>
  <w:footnote w:type="continuationSeparator" w:id="0">
    <w:p w14:paraId="26886F97" w14:textId="77777777" w:rsidR="00EB529C" w:rsidRDefault="00EB529C" w:rsidP="000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DE93" w14:textId="4A895803" w:rsidR="008A03B6" w:rsidRDefault="008A03B6" w:rsidP="008A03B6">
    <w:pPr>
      <w:pStyle w:val="Encabezado"/>
      <w:ind w:left="2694"/>
      <w:jc w:val="center"/>
      <w:rPr>
        <w:rFonts w:ascii="Arial" w:hAnsi="Arial" w:cs="Arial"/>
        <w:b/>
        <w:sz w:val="18"/>
      </w:rPr>
    </w:pPr>
    <w:r>
      <w:rPr>
        <w:noProof/>
        <w:lang w:eastAsia="es-CO"/>
      </w:rPr>
      <w:drawing>
        <wp:anchor distT="0" distB="0" distL="114300" distR="114300" simplePos="0" relativeHeight="251656191" behindDoc="1" locked="0" layoutInCell="1" allowOverlap="1" wp14:anchorId="130C80F3" wp14:editId="4208C198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900670" cy="1381125"/>
          <wp:effectExtent l="0" t="0" r="5080" b="9525"/>
          <wp:wrapNone/>
          <wp:docPr id="1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067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A2B">
      <w:rPr>
        <w:rFonts w:ascii="Arial" w:hAnsi="Arial" w:cs="Arial"/>
        <w:b/>
        <w:sz w:val="18"/>
      </w:rPr>
      <w:t xml:space="preserve">Formato para Declaración de Conformidad del Proveedor </w:t>
    </w:r>
  </w:p>
  <w:p w14:paraId="770D8F2E" w14:textId="77777777" w:rsidR="008A03B6" w:rsidRPr="008A03B6" w:rsidRDefault="008A03B6" w:rsidP="008A03B6">
    <w:pPr>
      <w:pStyle w:val="Encabezado"/>
      <w:ind w:left="2835"/>
      <w:jc w:val="center"/>
      <w:rPr>
        <w:rFonts w:ascii="Arial" w:hAnsi="Arial" w:cs="Arial"/>
        <w:sz w:val="18"/>
      </w:rPr>
    </w:pPr>
    <w:r w:rsidRPr="00C04A2B">
      <w:rPr>
        <w:rFonts w:ascii="Arial" w:hAnsi="Arial" w:cs="Arial"/>
        <w:b/>
        <w:sz w:val="18"/>
      </w:rPr>
      <w:t>Resolución 689 de 2016</w:t>
    </w:r>
    <w:r w:rsidRPr="00C04A2B">
      <w:rPr>
        <w:rFonts w:ascii="Arial" w:hAnsi="Arial" w:cs="Arial"/>
        <w:sz w:val="18"/>
      </w:rPr>
      <w:t xml:space="preserve"> “</w:t>
    </w:r>
    <w:r w:rsidRPr="00C04A2B">
      <w:rPr>
        <w:rFonts w:ascii="Arial" w:hAnsi="Arial" w:cs="Arial"/>
        <w:i/>
        <w:iCs/>
        <w:sz w:val="18"/>
      </w:rPr>
      <w:t>Por la cual se adopta el reglamento técnico que establece los límites máximos de fósforo y biodegradabilidad de los tensoactivos presentes en detergentes y jabones, y se dictan otras disposiciones”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850"/>
    <w:multiLevelType w:val="hybridMultilevel"/>
    <w:tmpl w:val="0388F78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D20F0"/>
    <w:multiLevelType w:val="hybridMultilevel"/>
    <w:tmpl w:val="15AE13BE"/>
    <w:lvl w:ilvl="0" w:tplc="819A5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0F3E02"/>
    <w:multiLevelType w:val="hybridMultilevel"/>
    <w:tmpl w:val="4AAC218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356E"/>
    <w:multiLevelType w:val="multilevel"/>
    <w:tmpl w:val="E670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400E2"/>
    <w:multiLevelType w:val="multilevel"/>
    <w:tmpl w:val="0898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04A3C"/>
    <w:multiLevelType w:val="hybridMultilevel"/>
    <w:tmpl w:val="95EE3F0E"/>
    <w:lvl w:ilvl="0" w:tplc="315CE8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1C1C"/>
    <w:multiLevelType w:val="hybridMultilevel"/>
    <w:tmpl w:val="23222D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2A40"/>
    <w:multiLevelType w:val="hybridMultilevel"/>
    <w:tmpl w:val="4BC2C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B0B69"/>
    <w:multiLevelType w:val="hybridMultilevel"/>
    <w:tmpl w:val="7AEC1B7E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FE6851"/>
    <w:multiLevelType w:val="multilevel"/>
    <w:tmpl w:val="500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70B6A"/>
    <w:multiLevelType w:val="hybridMultilevel"/>
    <w:tmpl w:val="620845B8"/>
    <w:lvl w:ilvl="0" w:tplc="71F8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1601A"/>
    <w:multiLevelType w:val="hybridMultilevel"/>
    <w:tmpl w:val="23C24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758B8"/>
    <w:multiLevelType w:val="hybridMultilevel"/>
    <w:tmpl w:val="169A87F6"/>
    <w:lvl w:ilvl="0" w:tplc="6EEE078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7227363"/>
    <w:multiLevelType w:val="hybridMultilevel"/>
    <w:tmpl w:val="FB569F1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3024E2"/>
    <w:multiLevelType w:val="multilevel"/>
    <w:tmpl w:val="50F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0632E"/>
    <w:multiLevelType w:val="hybridMultilevel"/>
    <w:tmpl w:val="0150C952"/>
    <w:lvl w:ilvl="0" w:tplc="CD826E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943480"/>
    <w:multiLevelType w:val="multilevel"/>
    <w:tmpl w:val="97AC0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CF4467"/>
    <w:multiLevelType w:val="multilevel"/>
    <w:tmpl w:val="C8D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04134"/>
    <w:multiLevelType w:val="hybridMultilevel"/>
    <w:tmpl w:val="3AC4F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2351"/>
    <w:multiLevelType w:val="hybridMultilevel"/>
    <w:tmpl w:val="3CA868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9"/>
  </w:num>
  <w:num w:numId="5">
    <w:abstractNumId w:val="7"/>
  </w:num>
  <w:num w:numId="6">
    <w:abstractNumId w:val="2"/>
  </w:num>
  <w:num w:numId="7">
    <w:abstractNumId w:val="10"/>
  </w:num>
  <w:num w:numId="8">
    <w:abstractNumId w:val="2"/>
  </w:num>
  <w:num w:numId="9">
    <w:abstractNumId w:val="18"/>
  </w:num>
  <w:num w:numId="10">
    <w:abstractNumId w:val="8"/>
  </w:num>
  <w:num w:numId="11">
    <w:abstractNumId w:val="11"/>
  </w:num>
  <w:num w:numId="12">
    <w:abstractNumId w:val="1"/>
  </w:num>
  <w:num w:numId="13">
    <w:abstractNumId w:val="15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4"/>
  </w:num>
  <w:num w:numId="19">
    <w:abstractNumId w:val="17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B9"/>
    <w:rsid w:val="0000498C"/>
    <w:rsid w:val="00014867"/>
    <w:rsid w:val="00023579"/>
    <w:rsid w:val="0002778C"/>
    <w:rsid w:val="000479C0"/>
    <w:rsid w:val="00047A9C"/>
    <w:rsid w:val="000610F2"/>
    <w:rsid w:val="00076992"/>
    <w:rsid w:val="00086804"/>
    <w:rsid w:val="00087C19"/>
    <w:rsid w:val="00091137"/>
    <w:rsid w:val="00097CA3"/>
    <w:rsid w:val="000A72B8"/>
    <w:rsid w:val="000B7727"/>
    <w:rsid w:val="000D06B9"/>
    <w:rsid w:val="000D17BE"/>
    <w:rsid w:val="000D5944"/>
    <w:rsid w:val="000E69F1"/>
    <w:rsid w:val="000F5D49"/>
    <w:rsid w:val="00121C66"/>
    <w:rsid w:val="00125C77"/>
    <w:rsid w:val="00131BD9"/>
    <w:rsid w:val="0014555E"/>
    <w:rsid w:val="00152164"/>
    <w:rsid w:val="00153539"/>
    <w:rsid w:val="001628EB"/>
    <w:rsid w:val="00164A8A"/>
    <w:rsid w:val="00176A0A"/>
    <w:rsid w:val="001A184B"/>
    <w:rsid w:val="001A452B"/>
    <w:rsid w:val="001B62F7"/>
    <w:rsid w:val="001B7F33"/>
    <w:rsid w:val="001D620A"/>
    <w:rsid w:val="001D6893"/>
    <w:rsid w:val="001E17BD"/>
    <w:rsid w:val="001E3800"/>
    <w:rsid w:val="001F2068"/>
    <w:rsid w:val="00220605"/>
    <w:rsid w:val="00240C15"/>
    <w:rsid w:val="0024359F"/>
    <w:rsid w:val="00250563"/>
    <w:rsid w:val="00252C63"/>
    <w:rsid w:val="002660C7"/>
    <w:rsid w:val="00273FE9"/>
    <w:rsid w:val="002740A7"/>
    <w:rsid w:val="00286F73"/>
    <w:rsid w:val="00291414"/>
    <w:rsid w:val="002923A5"/>
    <w:rsid w:val="002947F3"/>
    <w:rsid w:val="002C0FC5"/>
    <w:rsid w:val="002C1C06"/>
    <w:rsid w:val="002D69D7"/>
    <w:rsid w:val="002E71D3"/>
    <w:rsid w:val="003020B0"/>
    <w:rsid w:val="00307618"/>
    <w:rsid w:val="00314626"/>
    <w:rsid w:val="0032064A"/>
    <w:rsid w:val="00340C9F"/>
    <w:rsid w:val="00362F71"/>
    <w:rsid w:val="0036524A"/>
    <w:rsid w:val="00366CCD"/>
    <w:rsid w:val="00370531"/>
    <w:rsid w:val="0037605F"/>
    <w:rsid w:val="003A096E"/>
    <w:rsid w:val="003A5631"/>
    <w:rsid w:val="003C0737"/>
    <w:rsid w:val="003C3067"/>
    <w:rsid w:val="003C4F9B"/>
    <w:rsid w:val="003D6E90"/>
    <w:rsid w:val="003F11EE"/>
    <w:rsid w:val="0040638C"/>
    <w:rsid w:val="00412A61"/>
    <w:rsid w:val="004133BC"/>
    <w:rsid w:val="00417602"/>
    <w:rsid w:val="00456AC2"/>
    <w:rsid w:val="00460C42"/>
    <w:rsid w:val="00470CBA"/>
    <w:rsid w:val="00480DE9"/>
    <w:rsid w:val="004906C4"/>
    <w:rsid w:val="004A169B"/>
    <w:rsid w:val="004A33B5"/>
    <w:rsid w:val="004D3B67"/>
    <w:rsid w:val="004F0CB7"/>
    <w:rsid w:val="004F20CC"/>
    <w:rsid w:val="004F38F1"/>
    <w:rsid w:val="00505692"/>
    <w:rsid w:val="00516525"/>
    <w:rsid w:val="005239C1"/>
    <w:rsid w:val="00542FA9"/>
    <w:rsid w:val="00551959"/>
    <w:rsid w:val="00552857"/>
    <w:rsid w:val="00570B36"/>
    <w:rsid w:val="005755B6"/>
    <w:rsid w:val="00580CA1"/>
    <w:rsid w:val="005A1938"/>
    <w:rsid w:val="005A389B"/>
    <w:rsid w:val="005A5BB4"/>
    <w:rsid w:val="005A72D4"/>
    <w:rsid w:val="005B2CE5"/>
    <w:rsid w:val="005B7398"/>
    <w:rsid w:val="005E396C"/>
    <w:rsid w:val="00612646"/>
    <w:rsid w:val="0061318D"/>
    <w:rsid w:val="00621668"/>
    <w:rsid w:val="00630CD1"/>
    <w:rsid w:val="00631E0F"/>
    <w:rsid w:val="00636CCE"/>
    <w:rsid w:val="00637D2B"/>
    <w:rsid w:val="00654108"/>
    <w:rsid w:val="006642A5"/>
    <w:rsid w:val="00675926"/>
    <w:rsid w:val="006812AA"/>
    <w:rsid w:val="006845FC"/>
    <w:rsid w:val="0069238A"/>
    <w:rsid w:val="00692A8B"/>
    <w:rsid w:val="006A187F"/>
    <w:rsid w:val="006A49B4"/>
    <w:rsid w:val="006B1B1D"/>
    <w:rsid w:val="006B4783"/>
    <w:rsid w:val="006C0683"/>
    <w:rsid w:val="006C1A81"/>
    <w:rsid w:val="006C1BDF"/>
    <w:rsid w:val="006D01C9"/>
    <w:rsid w:val="006D111C"/>
    <w:rsid w:val="006D49EF"/>
    <w:rsid w:val="006D60C0"/>
    <w:rsid w:val="006F2FF6"/>
    <w:rsid w:val="00700C4F"/>
    <w:rsid w:val="00706CF3"/>
    <w:rsid w:val="007118FA"/>
    <w:rsid w:val="00712B22"/>
    <w:rsid w:val="0074447B"/>
    <w:rsid w:val="00751B07"/>
    <w:rsid w:val="0076395A"/>
    <w:rsid w:val="00781742"/>
    <w:rsid w:val="00790C59"/>
    <w:rsid w:val="007A0618"/>
    <w:rsid w:val="007A1F28"/>
    <w:rsid w:val="007A7519"/>
    <w:rsid w:val="007B148B"/>
    <w:rsid w:val="007F5574"/>
    <w:rsid w:val="007F656E"/>
    <w:rsid w:val="00815090"/>
    <w:rsid w:val="00822E1F"/>
    <w:rsid w:val="00831B82"/>
    <w:rsid w:val="00837B0F"/>
    <w:rsid w:val="00841505"/>
    <w:rsid w:val="00856370"/>
    <w:rsid w:val="00870E2C"/>
    <w:rsid w:val="00882678"/>
    <w:rsid w:val="00897BC5"/>
    <w:rsid w:val="008A03B6"/>
    <w:rsid w:val="008A2C9A"/>
    <w:rsid w:val="008B3A69"/>
    <w:rsid w:val="008B563F"/>
    <w:rsid w:val="008C1CB0"/>
    <w:rsid w:val="009074D4"/>
    <w:rsid w:val="00913BA7"/>
    <w:rsid w:val="009269C5"/>
    <w:rsid w:val="0093691B"/>
    <w:rsid w:val="00970014"/>
    <w:rsid w:val="00981C1C"/>
    <w:rsid w:val="009917A9"/>
    <w:rsid w:val="00992AFC"/>
    <w:rsid w:val="00992D2A"/>
    <w:rsid w:val="009A00C1"/>
    <w:rsid w:val="009D6247"/>
    <w:rsid w:val="009E3C3E"/>
    <w:rsid w:val="009E4390"/>
    <w:rsid w:val="009E51A4"/>
    <w:rsid w:val="009E7291"/>
    <w:rsid w:val="00A01EEB"/>
    <w:rsid w:val="00A128CC"/>
    <w:rsid w:val="00A268CA"/>
    <w:rsid w:val="00A30669"/>
    <w:rsid w:val="00A33202"/>
    <w:rsid w:val="00A35B5A"/>
    <w:rsid w:val="00A40A62"/>
    <w:rsid w:val="00A75284"/>
    <w:rsid w:val="00A76071"/>
    <w:rsid w:val="00A94FD1"/>
    <w:rsid w:val="00AA5654"/>
    <w:rsid w:val="00AB275A"/>
    <w:rsid w:val="00AD68AD"/>
    <w:rsid w:val="00AE1EDC"/>
    <w:rsid w:val="00B012C4"/>
    <w:rsid w:val="00B133ED"/>
    <w:rsid w:val="00B3309F"/>
    <w:rsid w:val="00B708A3"/>
    <w:rsid w:val="00B746F0"/>
    <w:rsid w:val="00B81F4A"/>
    <w:rsid w:val="00BA241C"/>
    <w:rsid w:val="00BC59A4"/>
    <w:rsid w:val="00BE0E73"/>
    <w:rsid w:val="00BE3F19"/>
    <w:rsid w:val="00BE445D"/>
    <w:rsid w:val="00BE6825"/>
    <w:rsid w:val="00BF0319"/>
    <w:rsid w:val="00C121F2"/>
    <w:rsid w:val="00C208B4"/>
    <w:rsid w:val="00C35AC9"/>
    <w:rsid w:val="00C3689C"/>
    <w:rsid w:val="00C4505D"/>
    <w:rsid w:val="00C60945"/>
    <w:rsid w:val="00C617DC"/>
    <w:rsid w:val="00C92B5A"/>
    <w:rsid w:val="00CA0F6E"/>
    <w:rsid w:val="00CB2590"/>
    <w:rsid w:val="00CB4F29"/>
    <w:rsid w:val="00CB7D0F"/>
    <w:rsid w:val="00CC0BFA"/>
    <w:rsid w:val="00CC5D38"/>
    <w:rsid w:val="00CD7B16"/>
    <w:rsid w:val="00CF1B02"/>
    <w:rsid w:val="00CF4DE2"/>
    <w:rsid w:val="00D14AC2"/>
    <w:rsid w:val="00D30E9C"/>
    <w:rsid w:val="00D334F8"/>
    <w:rsid w:val="00D40349"/>
    <w:rsid w:val="00D672FC"/>
    <w:rsid w:val="00D700F4"/>
    <w:rsid w:val="00D73129"/>
    <w:rsid w:val="00D92D6B"/>
    <w:rsid w:val="00DA1905"/>
    <w:rsid w:val="00DC4A73"/>
    <w:rsid w:val="00DC5278"/>
    <w:rsid w:val="00DC54F2"/>
    <w:rsid w:val="00DC70A0"/>
    <w:rsid w:val="00DD7DD0"/>
    <w:rsid w:val="00DD7E32"/>
    <w:rsid w:val="00DE4423"/>
    <w:rsid w:val="00DF08A3"/>
    <w:rsid w:val="00E10DFC"/>
    <w:rsid w:val="00E16032"/>
    <w:rsid w:val="00E42806"/>
    <w:rsid w:val="00E660AC"/>
    <w:rsid w:val="00E721B3"/>
    <w:rsid w:val="00E74699"/>
    <w:rsid w:val="00E83120"/>
    <w:rsid w:val="00E95349"/>
    <w:rsid w:val="00EB017A"/>
    <w:rsid w:val="00EB529C"/>
    <w:rsid w:val="00EB6193"/>
    <w:rsid w:val="00EB7D50"/>
    <w:rsid w:val="00EC1C23"/>
    <w:rsid w:val="00EC39B6"/>
    <w:rsid w:val="00EC6D29"/>
    <w:rsid w:val="00EE0CEE"/>
    <w:rsid w:val="00EE0E6A"/>
    <w:rsid w:val="00EE4798"/>
    <w:rsid w:val="00EF1C90"/>
    <w:rsid w:val="00EF7151"/>
    <w:rsid w:val="00F0729D"/>
    <w:rsid w:val="00F2121C"/>
    <w:rsid w:val="00F2658B"/>
    <w:rsid w:val="00F30DDC"/>
    <w:rsid w:val="00F50194"/>
    <w:rsid w:val="00F552B2"/>
    <w:rsid w:val="00F56801"/>
    <w:rsid w:val="00F7305D"/>
    <w:rsid w:val="00F74E17"/>
    <w:rsid w:val="00F77495"/>
    <w:rsid w:val="00F85A00"/>
    <w:rsid w:val="00FA0D60"/>
    <w:rsid w:val="00FB0CDE"/>
    <w:rsid w:val="00FB14C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91EFB2"/>
  <w15:chartTrackingRefBased/>
  <w15:docId w15:val="{568E5240-2E56-43A1-AFCC-FDE145A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4F0CB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color w:val="00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DC4A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4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baj">
    <w:name w:val="b_aj"/>
    <w:rsid w:val="00DC4A73"/>
  </w:style>
  <w:style w:type="table" w:styleId="Tablaconcuadrcula">
    <w:name w:val="Table Grid"/>
    <w:basedOn w:val="Tablanormal"/>
    <w:uiPriority w:val="59"/>
    <w:rsid w:val="00EE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1E17BD"/>
    <w:pPr>
      <w:widowControl w:val="0"/>
      <w:tabs>
        <w:tab w:val="left" w:pos="1013"/>
        <w:tab w:val="left" w:pos="2457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1E17BD"/>
    <w:rPr>
      <w:rFonts w:ascii="Arial" w:eastAsia="Times New Roman" w:hAnsi="Arial" w:cs="Arial"/>
      <w:sz w:val="22"/>
      <w:szCs w:val="24"/>
      <w:lang w:val="es-ES" w:eastAsia="es-ES"/>
    </w:rPr>
  </w:style>
  <w:style w:type="character" w:customStyle="1" w:styleId="iaj">
    <w:name w:val="i_aj"/>
    <w:rsid w:val="007118FA"/>
  </w:style>
  <w:style w:type="paragraph" w:styleId="Prrafodelista">
    <w:name w:val="List Paragraph"/>
    <w:basedOn w:val="Normal"/>
    <w:uiPriority w:val="34"/>
    <w:qFormat/>
    <w:rsid w:val="007118FA"/>
    <w:pPr>
      <w:spacing w:after="0" w:line="240" w:lineRule="auto"/>
      <w:ind w:left="720"/>
      <w:contextualSpacing/>
    </w:pPr>
    <w:rPr>
      <w:rFonts w:ascii="Arial" w:eastAsia="MS Mincho" w:hAnsi="Arial"/>
      <w:sz w:val="20"/>
      <w:szCs w:val="24"/>
      <w:lang w:eastAsia="es-CO"/>
    </w:rPr>
  </w:style>
  <w:style w:type="paragraph" w:customStyle="1" w:styleId="xxxmsonormal">
    <w:name w:val="x_x_x_msonormal"/>
    <w:basedOn w:val="Normal"/>
    <w:uiPriority w:val="99"/>
    <w:rsid w:val="007A1F28"/>
    <w:pPr>
      <w:spacing w:after="0" w:line="240" w:lineRule="auto"/>
    </w:pPr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link w:val="Ttulo1"/>
    <w:rsid w:val="004F0CB7"/>
    <w:rPr>
      <w:rFonts w:ascii="Arial" w:eastAsia="Times New Roman" w:hAnsi="Arial" w:cs="Arial"/>
      <w:b/>
      <w:bCs/>
      <w:color w:val="000000"/>
      <w:lang w:val="es-ES" w:eastAsia="es-ES"/>
    </w:rPr>
  </w:style>
  <w:style w:type="paragraph" w:customStyle="1" w:styleId="Default">
    <w:name w:val="Default"/>
    <w:rsid w:val="004F0CB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4F0CB7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F0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uiPriority w:val="99"/>
    <w:rsid w:val="004F0CB7"/>
    <w:rPr>
      <w:rFonts w:ascii="Courier New" w:eastAsia="Times New Roman" w:hAnsi="Courier New" w:cs="Courier New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F0C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4F0CB7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criteria">
    <w:name w:val="criteria"/>
    <w:rsid w:val="004F0CB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F0C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link w:val="z-Finaldelformulario"/>
    <w:uiPriority w:val="99"/>
    <w:semiHidden/>
    <w:rsid w:val="004F0CB7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0CB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rsid w:val="004F0CB7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4F0CB7"/>
    <w:rPr>
      <w:vertAlign w:val="superscript"/>
    </w:rPr>
  </w:style>
  <w:style w:type="paragraph" w:styleId="Revisin">
    <w:name w:val="Revision"/>
    <w:hidden/>
    <w:uiPriority w:val="99"/>
    <w:semiHidden/>
    <w:rsid w:val="00CC0BFA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0C3D-801C-4C21-9671-85829493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Links>
    <vt:vector size="192" baseType="variant">
      <vt:variant>
        <vt:i4>4128882</vt:i4>
      </vt:variant>
      <vt:variant>
        <vt:i4>96</vt:i4>
      </vt:variant>
      <vt:variant>
        <vt:i4>0</vt:i4>
      </vt:variant>
      <vt:variant>
        <vt:i4>5</vt:i4>
      </vt:variant>
      <vt:variant>
        <vt:lpwstr>https://www.aao.org/salud-ocular/anatomia/la-presion-ocular</vt:lpwstr>
      </vt:variant>
      <vt:variant>
        <vt:lpwstr/>
      </vt:variant>
      <vt:variant>
        <vt:i4>3997733</vt:i4>
      </vt:variant>
      <vt:variant>
        <vt:i4>93</vt:i4>
      </vt:variant>
      <vt:variant>
        <vt:i4>0</vt:i4>
      </vt:variant>
      <vt:variant>
        <vt:i4>5</vt:i4>
      </vt:variant>
      <vt:variant>
        <vt:lpwstr>https://www.aao.org/salud-ocular/enfermedades/que-es-la-uveitis</vt:lpwstr>
      </vt:variant>
      <vt:variant>
        <vt:lpwstr/>
      </vt:variant>
      <vt:variant>
        <vt:i4>7340159</vt:i4>
      </vt:variant>
      <vt:variant>
        <vt:i4>90</vt:i4>
      </vt:variant>
      <vt:variant>
        <vt:i4>0</vt:i4>
      </vt:variant>
      <vt:variant>
        <vt:i4>5</vt:i4>
      </vt:variant>
      <vt:variant>
        <vt:lpwstr>https://www.aao.org/salud-ocular/enfermedades/edema-macular</vt:lpwstr>
      </vt:variant>
      <vt:variant>
        <vt:lpwstr/>
      </vt:variant>
      <vt:variant>
        <vt:i4>4784153</vt:i4>
      </vt:variant>
      <vt:variant>
        <vt:i4>87</vt:i4>
      </vt:variant>
      <vt:variant>
        <vt:i4>0</vt:i4>
      </vt:variant>
      <vt:variant>
        <vt:i4>5</vt:i4>
      </vt:variant>
      <vt:variant>
        <vt:lpwstr>https://www.aao.org/salud-ocular/enfermedades/conjuntivitis-ojo-rojo</vt:lpwstr>
      </vt:variant>
      <vt:variant>
        <vt:lpwstr/>
      </vt:variant>
      <vt:variant>
        <vt:i4>4325445</vt:i4>
      </vt:variant>
      <vt:variant>
        <vt:i4>84</vt:i4>
      </vt:variant>
      <vt:variant>
        <vt:i4>0</vt:i4>
      </vt:variant>
      <vt:variant>
        <vt:i4>5</vt:i4>
      </vt:variant>
      <vt:variant>
        <vt:lpwstr>https://www.aao.org/salud-ocular/consejos/el-oftalmologo</vt:lpwstr>
      </vt:variant>
      <vt:variant>
        <vt:lpwstr/>
      </vt:variant>
      <vt:variant>
        <vt:i4>2752547</vt:i4>
      </vt:variant>
      <vt:variant>
        <vt:i4>81</vt:i4>
      </vt:variant>
      <vt:variant>
        <vt:i4>0</vt:i4>
      </vt:variant>
      <vt:variant>
        <vt:i4>5</vt:i4>
      </vt:variant>
      <vt:variant>
        <vt:lpwstr>https://www.aao.org/salud-ocular/enfermedades/glaucoma-tratamiento</vt:lpwstr>
      </vt:variant>
      <vt:variant>
        <vt:lpwstr/>
      </vt:variant>
      <vt:variant>
        <vt:i4>2621543</vt:i4>
      </vt:variant>
      <vt:variant>
        <vt:i4>78</vt:i4>
      </vt:variant>
      <vt:variant>
        <vt:i4>0</vt:i4>
      </vt:variant>
      <vt:variant>
        <vt:i4>5</vt:i4>
      </vt:variant>
      <vt:variant>
        <vt:lpwstr>https://www.invima.gov.co/documents/20143/1382801/Normas+farmacologicas+AGOSTO2020.pdf</vt:lpwstr>
      </vt:variant>
      <vt:variant>
        <vt:lpwstr/>
      </vt:variant>
      <vt:variant>
        <vt:i4>8323135</vt:i4>
      </vt:variant>
      <vt:variant>
        <vt:i4>69</vt:i4>
      </vt:variant>
      <vt:variant>
        <vt:i4>0</vt:i4>
      </vt:variant>
      <vt:variant>
        <vt:i4>5</vt:i4>
      </vt:variant>
      <vt:variant>
        <vt:lpwstr>https://gov.personalcarecouncil.org/jsp/gov/GovIngredientSearchPage.jsp</vt:lpwstr>
      </vt:variant>
      <vt:variant>
        <vt:lpwstr/>
      </vt:variant>
      <vt:variant>
        <vt:i4>262211</vt:i4>
      </vt:variant>
      <vt:variant>
        <vt:i4>66</vt:i4>
      </vt:variant>
      <vt:variant>
        <vt:i4>0</vt:i4>
      </vt:variant>
      <vt:variant>
        <vt:i4>5</vt:i4>
      </vt:variant>
      <vt:variant>
        <vt:lpwstr>https://gov.personalcarecouncil.org/jsp/gov/IngredientDetail.jsp?monoid=27483</vt:lpwstr>
      </vt:variant>
      <vt:variant>
        <vt:lpwstr/>
      </vt:variant>
      <vt:variant>
        <vt:i4>67</vt:i4>
      </vt:variant>
      <vt:variant>
        <vt:i4>63</vt:i4>
      </vt:variant>
      <vt:variant>
        <vt:i4>0</vt:i4>
      </vt:variant>
      <vt:variant>
        <vt:i4>5</vt:i4>
      </vt:variant>
      <vt:variant>
        <vt:lpwstr>https://gov.personalcarecouncil.org/jsp/gov/IngredientDetail.jsp?monoid=22492</vt:lpwstr>
      </vt:variant>
      <vt:variant>
        <vt:lpwstr/>
      </vt:variant>
      <vt:variant>
        <vt:i4>70</vt:i4>
      </vt:variant>
      <vt:variant>
        <vt:i4>60</vt:i4>
      </vt:variant>
      <vt:variant>
        <vt:i4>0</vt:i4>
      </vt:variant>
      <vt:variant>
        <vt:i4>5</vt:i4>
      </vt:variant>
      <vt:variant>
        <vt:lpwstr>https://gov.personalcarecouncil.org/jsp/gov/IngredientDetail.jsp?monoid=23188</vt:lpwstr>
      </vt:variant>
      <vt:variant>
        <vt:lpwstr/>
      </vt:variant>
      <vt:variant>
        <vt:i4>71</vt:i4>
      </vt:variant>
      <vt:variant>
        <vt:i4>57</vt:i4>
      </vt:variant>
      <vt:variant>
        <vt:i4>0</vt:i4>
      </vt:variant>
      <vt:variant>
        <vt:i4>5</vt:i4>
      </vt:variant>
      <vt:variant>
        <vt:lpwstr>https://gov.personalcarecouncil.org/jsp/gov/IngredientDetail.jsp?monoid=33184</vt:lpwstr>
      </vt:variant>
      <vt:variant>
        <vt:lpwstr/>
      </vt:variant>
      <vt:variant>
        <vt:i4>720960</vt:i4>
      </vt:variant>
      <vt:variant>
        <vt:i4>54</vt:i4>
      </vt:variant>
      <vt:variant>
        <vt:i4>0</vt:i4>
      </vt:variant>
      <vt:variant>
        <vt:i4>5</vt:i4>
      </vt:variant>
      <vt:variant>
        <vt:lpwstr>https://gov.personalcarecouncil.org/jsp/gov/IngredientDetail.jsp?monoid=27777</vt:lpwstr>
      </vt:variant>
      <vt:variant>
        <vt:lpwstr/>
      </vt:variant>
      <vt:variant>
        <vt:i4>720960</vt:i4>
      </vt:variant>
      <vt:variant>
        <vt:i4>51</vt:i4>
      </vt:variant>
      <vt:variant>
        <vt:i4>0</vt:i4>
      </vt:variant>
      <vt:variant>
        <vt:i4>5</vt:i4>
      </vt:variant>
      <vt:variant>
        <vt:lpwstr>https://gov.personalcarecouncil.org/jsp/gov/IngredientDetail.jsp?monoid=27776</vt:lpwstr>
      </vt:variant>
      <vt:variant>
        <vt:lpwstr/>
      </vt:variant>
      <vt:variant>
        <vt:i4>67</vt:i4>
      </vt:variant>
      <vt:variant>
        <vt:i4>48</vt:i4>
      </vt:variant>
      <vt:variant>
        <vt:i4>0</vt:i4>
      </vt:variant>
      <vt:variant>
        <vt:i4>5</vt:i4>
      </vt:variant>
      <vt:variant>
        <vt:lpwstr>https://gov.personalcarecouncil.org/jsp/gov/IngredientDetail.jsp?monoid=22492</vt:lpwstr>
      </vt:variant>
      <vt:variant>
        <vt:lpwstr/>
      </vt:variant>
      <vt:variant>
        <vt:i4>8323135</vt:i4>
      </vt:variant>
      <vt:variant>
        <vt:i4>45</vt:i4>
      </vt:variant>
      <vt:variant>
        <vt:i4>0</vt:i4>
      </vt:variant>
      <vt:variant>
        <vt:i4>5</vt:i4>
      </vt:variant>
      <vt:variant>
        <vt:lpwstr>https://gov.personalcarecouncil.org/jsp/gov/GovIngredientSearchPage.jsp</vt:lpwstr>
      </vt:variant>
      <vt:variant>
        <vt:lpwstr/>
      </vt:variant>
      <vt:variant>
        <vt:i4>3080316</vt:i4>
      </vt:variant>
      <vt:variant>
        <vt:i4>42</vt:i4>
      </vt:variant>
      <vt:variant>
        <vt:i4>0</vt:i4>
      </vt:variant>
      <vt:variant>
        <vt:i4>5</vt:i4>
      </vt:variant>
      <vt:variant>
        <vt:lpwstr>javascript:queryHelp()</vt:lpwstr>
      </vt:variant>
      <vt:variant>
        <vt:lpwstr/>
      </vt:variant>
      <vt:variant>
        <vt:i4>917504</vt:i4>
      </vt:variant>
      <vt:variant>
        <vt:i4>36</vt:i4>
      </vt:variant>
      <vt:variant>
        <vt:i4>0</vt:i4>
      </vt:variant>
      <vt:variant>
        <vt:i4>5</vt:i4>
      </vt:variant>
      <vt:variant>
        <vt:lpwstr>javascript:submitThis('IngredSearch')</vt:lpwstr>
      </vt:variant>
      <vt:variant>
        <vt:lpwstr/>
      </vt:variant>
      <vt:variant>
        <vt:i4>2162712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https://ec.europa.eu/growth/tools-databases/cosing/index.cfm?fuseaction=search.details_v2&amp;id=92900</vt:lpwstr>
      </vt:variant>
      <vt:variant>
        <vt:lpwstr/>
      </vt:variant>
      <vt:variant>
        <vt:i4>2883608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https://ec.europa.eu/growth/tools-databases/cosing/index.cfm?fuseaction=search.details_v2&amp;id=96743</vt:lpwstr>
      </vt:variant>
      <vt:variant>
        <vt:lpwstr/>
      </vt:variant>
      <vt:variant>
        <vt:i4>2359325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https://ec.europa.eu/growth/tools-databases/cosing/index.cfm?fuseaction=search.details_v2&amp;id=90874</vt:lpwstr>
      </vt:variant>
      <vt:variant>
        <vt:lpwstr/>
      </vt:variant>
      <vt:variant>
        <vt:i4>2293789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https://ec.europa.eu/growth/tools-databases/cosing/index.cfm?fuseaction=search.details_v2&amp;id=90873</vt:lpwstr>
      </vt:variant>
      <vt:variant>
        <vt:lpwstr/>
      </vt:variant>
      <vt:variant>
        <vt:i4>3342446</vt:i4>
      </vt:variant>
      <vt:variant>
        <vt:i4>18</vt:i4>
      </vt:variant>
      <vt:variant>
        <vt:i4>0</vt:i4>
      </vt:variant>
      <vt:variant>
        <vt:i4>5</vt:i4>
      </vt:variant>
      <vt:variant>
        <vt:lpwstr>http://buyers.personalcarecouncil.org/jsp/BGSearchPage.jsp?INCI=1&amp;IngredientName=%22Bimatoprost%22&amp;ActionType=Search&amp;listID=0&amp;pageName=BGSearchResultPage&amp;TestinglistID=0&amp;Category=INCI</vt:lpwstr>
      </vt:variant>
      <vt:variant>
        <vt:lpwstr/>
      </vt:variant>
      <vt:variant>
        <vt:i4>5439527</vt:i4>
      </vt:variant>
      <vt:variant>
        <vt:i4>15</vt:i4>
      </vt:variant>
      <vt:variant>
        <vt:i4>0</vt:i4>
      </vt:variant>
      <vt:variant>
        <vt:i4>5</vt:i4>
      </vt:variant>
      <vt:variant>
        <vt:lpwstr>https://gov.personalcarecouncil.org/ctfa-static/online/cn_chars/CN22492_1_M.gif</vt:lpwstr>
      </vt:variant>
      <vt:variant>
        <vt:lpwstr/>
      </vt:variant>
      <vt:variant>
        <vt:i4>4325463</vt:i4>
      </vt:variant>
      <vt:variant>
        <vt:i4>12</vt:i4>
      </vt:variant>
      <vt:variant>
        <vt:i4>0</vt:i4>
      </vt:variant>
      <vt:variant>
        <vt:i4>5</vt:i4>
      </vt:variant>
      <vt:variant>
        <vt:lpwstr>https://gov.personalcarecouncil.org/jsp/gov/IngredTradeNameListPage.jsp?monoID=22492&amp;INCIName=Bimatoprost</vt:lpwstr>
      </vt:variant>
      <vt:variant>
        <vt:lpwstr/>
      </vt:variant>
      <vt:variant>
        <vt:i4>3539042</vt:i4>
      </vt:variant>
      <vt:variant>
        <vt:i4>9</vt:i4>
      </vt:variant>
      <vt:variant>
        <vt:i4>0</vt:i4>
      </vt:variant>
      <vt:variant>
        <vt:i4>5</vt:i4>
      </vt:variant>
      <vt:variant>
        <vt:lpwstr>https://gov.personalcarecouncil.org/jsp/gov/IngredInfoDropResultPage.jsp?preference=2008&amp;IngredInfoList=14&amp;ingred=true</vt:lpwstr>
      </vt:variant>
      <vt:variant>
        <vt:lpwstr/>
      </vt:variant>
      <vt:variant>
        <vt:i4>1441818</vt:i4>
      </vt:variant>
      <vt:variant>
        <vt:i4>6</vt:i4>
      </vt:variant>
      <vt:variant>
        <vt:i4>0</vt:i4>
      </vt:variant>
      <vt:variant>
        <vt:i4>5</vt:i4>
      </vt:variant>
      <vt:variant>
        <vt:lpwstr>https://gov.personalcarecouncil.org/jsp/gov/IngredInfoDropResultPage.jsp?preference=770&amp;IngredInfoList=13&amp;ingred=true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https://gov.personalcarecouncil.org/jsp/gov/IngredInfoDropResultPage.jsp?preference=14&amp;IngredInfoList=13&amp;ingred=true</vt:lpwstr>
      </vt:variant>
      <vt:variant>
        <vt:lpwstr/>
      </vt:variant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https://gov.personalcarecouncil.org/ctfa-static/online/FrontMatter_Vol1 Edited for Websites.pdf</vt:lpwstr>
      </vt:variant>
      <vt:variant>
        <vt:lpwstr/>
      </vt:variant>
      <vt:variant>
        <vt:i4>4259952</vt:i4>
      </vt:variant>
      <vt:variant>
        <vt:i4>6</vt:i4>
      </vt:variant>
      <vt:variant>
        <vt:i4>0</vt:i4>
      </vt:variant>
      <vt:variant>
        <vt:i4>5</vt:i4>
      </vt:variant>
      <vt:variant>
        <vt:lpwstr>https://www.accessdata.fda.gov/drugsatfda_docs/label/2012/022369s005lbl.pdf</vt:lpwstr>
      </vt:variant>
      <vt:variant>
        <vt:lpwstr/>
      </vt:variant>
      <vt:variant>
        <vt:i4>4718671</vt:i4>
      </vt:variant>
      <vt:variant>
        <vt:i4>3</vt:i4>
      </vt:variant>
      <vt:variant>
        <vt:i4>0</vt:i4>
      </vt:variant>
      <vt:variant>
        <vt:i4>5</vt:i4>
      </vt:variant>
      <vt:variant>
        <vt:lpwstr>https://www.aao.org/salud-ocular/medicamentos/latisse-bimatoprost-solucion-oftalmica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https://www.ncbi.nlm.nih.gov/pmc/articles/PMC3047948/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Ligia Lorena Rodriguez Munoz</cp:lastModifiedBy>
  <cp:revision>2</cp:revision>
  <cp:lastPrinted>2020-02-27T21:50:00Z</cp:lastPrinted>
  <dcterms:created xsi:type="dcterms:W3CDTF">2021-07-06T19:58:00Z</dcterms:created>
  <dcterms:modified xsi:type="dcterms:W3CDTF">2021-07-06T19:58:00Z</dcterms:modified>
</cp:coreProperties>
</file>